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5F029A" w:rsidRDefault="0074722E" w:rsidP="0090381A">
      <w:pPr>
        <w:ind w:firstLine="7797"/>
        <w:jc w:val="center"/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5F029A">
        <w:t>___</w:t>
      </w:r>
      <w:r w:rsidR="005A629F" w:rsidRPr="00A20FA3">
        <w:t>»</w:t>
      </w:r>
      <w:r w:rsidR="009D028E" w:rsidRPr="00A20FA3">
        <w:t xml:space="preserve"> </w:t>
      </w:r>
      <w:r w:rsidR="005F029A" w:rsidRPr="005F029A">
        <w:t>_________</w:t>
      </w:r>
      <w:r w:rsidR="00BA0750" w:rsidRPr="005F029A">
        <w:t xml:space="preserve"> </w:t>
      </w:r>
      <w:r w:rsidR="00C74A41" w:rsidRPr="005F029A">
        <w:t>201</w:t>
      </w:r>
      <w:r w:rsidR="00E62CC7">
        <w:t>9</w:t>
      </w:r>
      <w:r w:rsidR="0090381A" w:rsidRPr="005F029A">
        <w:t xml:space="preserve"> г.  № </w:t>
      </w:r>
      <w:r w:rsidR="005F029A">
        <w:t>_______</w:t>
      </w:r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135"/>
      <w:bookmarkEnd w:id="0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201</w:t>
      </w:r>
      <w:r w:rsidR="00E62CC7">
        <w:rPr>
          <w:b/>
        </w:rPr>
        <w:t>9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</w:t>
      </w:r>
      <w:r w:rsidR="00E62CC7">
        <w:rPr>
          <w:b/>
        </w:rPr>
        <w:t>20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</w:t>
      </w:r>
      <w:r w:rsidR="00E62CC7">
        <w:rPr>
          <w:b/>
        </w:rPr>
        <w:t>1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</w:t>
            </w:r>
            <w:r w:rsidR="00E62CC7"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62CC7"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</w:t>
            </w:r>
            <w:r w:rsidR="00E62CC7">
              <w:rPr>
                <w:sz w:val="20"/>
                <w:szCs w:val="20"/>
              </w:rPr>
              <w:t>1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C705AD" w:rsidP="008A6BF4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83 223,162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245977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75 960,448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49 100,448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49 100,448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  <w:vMerge w:val="restart"/>
          </w:tcPr>
          <w:p w:rsidR="00350405" w:rsidRPr="00A20FA3" w:rsidRDefault="00350405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A20FA3">
              <w:rPr>
                <w:sz w:val="20"/>
                <w:szCs w:val="20"/>
              </w:rPr>
              <w:t>б</w:t>
            </w:r>
            <w:r w:rsidRPr="00A20FA3">
              <w:rPr>
                <w:sz w:val="20"/>
                <w:szCs w:val="20"/>
              </w:rPr>
              <w:t>ласти, оптимальных (нормативных) 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жимов и условий, обеспечивающих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ных и особо ценных, а также  иных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хивных документов, и их прием на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хранение; увеличение колич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документов, включенных в автом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50405" w:rsidRPr="00A20FA3" w:rsidRDefault="009522AA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50405" w:rsidRPr="00A20FA3" w:rsidRDefault="009522AA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350405" w:rsidRPr="00A20FA3" w:rsidRDefault="0024597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</w:tr>
      <w:tr w:rsidR="00350405" w:rsidRPr="00A20FA3" w:rsidTr="00350405">
        <w:trPr>
          <w:trHeight w:val="870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350405" w:rsidRPr="00A20FA3" w:rsidRDefault="0024597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34 952,743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</w:tr>
      <w:tr w:rsidR="00350405" w:rsidRPr="00A20FA3" w:rsidTr="00350405">
        <w:trPr>
          <w:trHeight w:val="811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</w:t>
            </w:r>
            <w:r w:rsidRPr="00A20FA3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350405" w:rsidRPr="00A20FA3" w:rsidRDefault="0024597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2 497,036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097AA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</w:t>
            </w:r>
            <w:r w:rsidR="00783524">
              <w:rPr>
                <w:sz w:val="18"/>
                <w:szCs w:val="18"/>
              </w:rPr>
              <w:t>9</w:t>
            </w:r>
          </w:p>
          <w:p w:rsidR="00350405" w:rsidRPr="00A20FA3" w:rsidRDefault="00350405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350405" w:rsidRPr="00A20FA3" w:rsidRDefault="00097AA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097AA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350405" w:rsidRPr="00A20FA3" w:rsidRDefault="00097AA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097AA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097AA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="00783524">
              <w:rPr>
                <w:sz w:val="22"/>
                <w:szCs w:val="22"/>
              </w:rPr>
              <w:t>в 2019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097AA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0A6644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097AA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097AA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9D7907" w:rsidRDefault="009D7907" w:rsidP="00B90FFA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50405" w:rsidRPr="00A20FA3" w:rsidRDefault="00350405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097AA8" w:rsidP="001D1306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097AA8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="00783524">
              <w:rPr>
                <w:sz w:val="20"/>
                <w:szCs w:val="20"/>
              </w:rPr>
              <w:t>пальных 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097AA8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</w:t>
            </w:r>
            <w:r w:rsidR="00350405" w:rsidRPr="00A20F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350405" w:rsidRPr="00A20FA3" w:rsidRDefault="00350405" w:rsidP="00902556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</w:t>
            </w:r>
            <w:r w:rsidR="00902556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902556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>Всероссийской научной конференции «Россия в во</w:t>
            </w:r>
            <w:r w:rsidR="00E5278B" w:rsidRPr="00E5278B">
              <w:rPr>
                <w:sz w:val="20"/>
                <w:szCs w:val="20"/>
              </w:rPr>
              <w:t>й</w:t>
            </w:r>
            <w:r w:rsidR="00E5278B" w:rsidRPr="00E5278B">
              <w:rPr>
                <w:sz w:val="20"/>
                <w:szCs w:val="20"/>
              </w:rPr>
              <w:t xml:space="preserve">нах </w:t>
            </w:r>
            <w:r w:rsidR="00E5278B" w:rsidRPr="00E5278B">
              <w:rPr>
                <w:sz w:val="20"/>
                <w:szCs w:val="20"/>
                <w:lang w:val="en-US"/>
              </w:rPr>
              <w:t>XX</w:t>
            </w:r>
            <w:r w:rsidR="00E5278B" w:rsidRPr="00E5278B">
              <w:rPr>
                <w:sz w:val="20"/>
                <w:szCs w:val="20"/>
              </w:rPr>
              <w:t xml:space="preserve"> века», 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</w:t>
            </w:r>
            <w:r w:rsidR="00E5278B" w:rsidRPr="00E5278B">
              <w:rPr>
                <w:sz w:val="20"/>
                <w:szCs w:val="20"/>
              </w:rPr>
              <w:t>р</w:t>
            </w:r>
            <w:r w:rsidR="00E5278B" w:rsidRPr="00E5278B">
              <w:rPr>
                <w:sz w:val="20"/>
                <w:szCs w:val="20"/>
              </w:rPr>
              <w:t>ской области» в 2019 году подгото</w:t>
            </w:r>
            <w:r w:rsidR="00E5278B" w:rsidRPr="00E5278B">
              <w:rPr>
                <w:sz w:val="20"/>
                <w:szCs w:val="20"/>
              </w:rPr>
              <w:t>в</w:t>
            </w:r>
            <w:r w:rsidR="00E5278B" w:rsidRPr="00E5278B">
              <w:rPr>
                <w:sz w:val="20"/>
                <w:szCs w:val="20"/>
              </w:rPr>
              <w:t>лены</w:t>
            </w:r>
          </w:p>
        </w:tc>
        <w:tc>
          <w:tcPr>
            <w:tcW w:w="392" w:type="dxa"/>
            <w:vAlign w:val="center"/>
          </w:tcPr>
          <w:p w:rsidR="00350405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E5278B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 xml:space="preserve">Всероссийской научной конференции «1941-1945: Этот день мы </w:t>
            </w:r>
            <w:proofErr w:type="gramStart"/>
            <w:r w:rsidR="00E5278B" w:rsidRPr="00E5278B">
              <w:rPr>
                <w:sz w:val="20"/>
                <w:szCs w:val="20"/>
              </w:rPr>
              <w:t>приближали</w:t>
            </w:r>
            <w:proofErr w:type="gramEnd"/>
            <w:r w:rsidR="00E5278B" w:rsidRPr="00E5278B">
              <w:rPr>
                <w:sz w:val="20"/>
                <w:szCs w:val="20"/>
              </w:rPr>
              <w:t xml:space="preserve"> как могли», буклет «Поклонимся великим тем г</w:t>
            </w:r>
            <w:r w:rsidR="00E5278B" w:rsidRPr="00E5278B">
              <w:rPr>
                <w:sz w:val="20"/>
                <w:szCs w:val="20"/>
              </w:rPr>
              <w:t>о</w:t>
            </w:r>
            <w:r w:rsidR="00E5278B" w:rsidRPr="00E5278B">
              <w:rPr>
                <w:sz w:val="20"/>
                <w:szCs w:val="20"/>
              </w:rPr>
              <w:t xml:space="preserve">дам!» </w:t>
            </w:r>
            <w:proofErr w:type="gramStart"/>
            <w:r w:rsidR="00E5278B" w:rsidRPr="00E5278B">
              <w:rPr>
                <w:sz w:val="20"/>
                <w:szCs w:val="20"/>
              </w:rPr>
              <w:t>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Курской обл</w:t>
            </w:r>
            <w:r w:rsidR="00E5278B" w:rsidRPr="00E5278B">
              <w:rPr>
                <w:sz w:val="20"/>
                <w:szCs w:val="20"/>
              </w:rPr>
              <w:t>а</w:t>
            </w:r>
            <w:r w:rsidR="00E5278B" w:rsidRPr="00E5278B">
              <w:rPr>
                <w:sz w:val="20"/>
                <w:szCs w:val="20"/>
              </w:rPr>
              <w:t>сти» в 2020 году подготовлены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097AA8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783524" w:rsidRPr="00A20FA3" w:rsidTr="00350405">
        <w:trPr>
          <w:cantSplit/>
          <w:trHeight w:val="1134"/>
        </w:trPr>
        <w:tc>
          <w:tcPr>
            <w:tcW w:w="568" w:type="dxa"/>
          </w:tcPr>
          <w:p w:rsidR="00783524" w:rsidRPr="00E5278B" w:rsidRDefault="0078352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83524" w:rsidRPr="00E5278B" w:rsidRDefault="00783524" w:rsidP="00E5278B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783524" w:rsidRPr="00E5278B" w:rsidRDefault="00783524" w:rsidP="0078352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 w:rsidR="00902556">
              <w:rPr>
                <w:sz w:val="20"/>
                <w:szCs w:val="20"/>
              </w:rPr>
              <w:t xml:space="preserve"> справочное издание «Адм</w:t>
            </w:r>
            <w:r w:rsidR="00902556">
              <w:rPr>
                <w:sz w:val="20"/>
                <w:szCs w:val="20"/>
              </w:rPr>
              <w:t>и</w:t>
            </w:r>
            <w:r w:rsidR="00902556">
              <w:rPr>
                <w:sz w:val="20"/>
                <w:szCs w:val="20"/>
              </w:rPr>
              <w:t>нистративно-террит</w:t>
            </w:r>
            <w:r w:rsidR="00777564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риальное деление и населенные пункты Курского реги</w:t>
            </w:r>
            <w:r w:rsidR="00902556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на»</w:t>
            </w:r>
            <w:r w:rsidR="00FF69CA">
              <w:rPr>
                <w:sz w:val="20"/>
                <w:szCs w:val="20"/>
              </w:rPr>
              <w:t>,</w:t>
            </w:r>
            <w:r w:rsidRPr="00E5278B">
              <w:rPr>
                <w:sz w:val="20"/>
                <w:szCs w:val="20"/>
              </w:rPr>
              <w:t xml:space="preserve"> 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2021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783524" w:rsidRPr="00E5278B" w:rsidRDefault="00097AA8" w:rsidP="00E5278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783524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783524" w:rsidRPr="00E5278B" w:rsidRDefault="00783524" w:rsidP="00E5278B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83524" w:rsidRPr="00E5278B" w:rsidRDefault="00783524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83524" w:rsidRPr="00E5278B" w:rsidRDefault="00783524" w:rsidP="00E5278B">
            <w:pPr>
              <w:ind w:left="113" w:right="113"/>
              <w:jc w:val="center"/>
              <w:rPr>
                <w:b/>
              </w:rPr>
            </w:pPr>
            <w:r w:rsidRPr="00E5278B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777564" w:rsidRPr="00A20FA3" w:rsidTr="00097AA8">
        <w:trPr>
          <w:cantSplit/>
          <w:trHeight w:val="1134"/>
        </w:trPr>
        <w:tc>
          <w:tcPr>
            <w:tcW w:w="568" w:type="dxa"/>
          </w:tcPr>
          <w:p w:rsidR="00777564" w:rsidRPr="00E5278B" w:rsidRDefault="00777564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544" w:type="dxa"/>
            <w:vAlign w:val="center"/>
          </w:tcPr>
          <w:p w:rsidR="00777564" w:rsidRPr="00E5278B" w:rsidRDefault="00777564" w:rsidP="00777564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Мероприятие 1.3.2. </w:t>
            </w:r>
            <w:r>
              <w:rPr>
                <w:sz w:val="20"/>
                <w:szCs w:val="20"/>
              </w:rPr>
              <w:t>«Проведение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ференций, круглых столов»</w:t>
            </w:r>
          </w:p>
        </w:tc>
        <w:tc>
          <w:tcPr>
            <w:tcW w:w="392" w:type="dxa"/>
            <w:vAlign w:val="center"/>
          </w:tcPr>
          <w:p w:rsidR="00777564" w:rsidRDefault="00777564" w:rsidP="00E5278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777564" w:rsidRPr="00E5278B" w:rsidRDefault="00CA303C" w:rsidP="00E5278B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77564" w:rsidRPr="00E5278B" w:rsidRDefault="00777564" w:rsidP="00777564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величение количества мероприятий, направленных на патриотическое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19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Default="00CA303C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28.02.2019</w:t>
            </w:r>
          </w:p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31.10.2019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2.2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CA303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0.06</w:t>
            </w:r>
            <w:r w:rsidRPr="00A20FA3">
              <w:rPr>
                <w:sz w:val="18"/>
                <w:szCs w:val="18"/>
              </w:rPr>
              <w:t>.2020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350405">
        <w:trPr>
          <w:cantSplit/>
          <w:trHeight w:val="1134"/>
        </w:trPr>
        <w:tc>
          <w:tcPr>
            <w:tcW w:w="568" w:type="dxa"/>
          </w:tcPr>
          <w:p w:rsidR="00CA303C" w:rsidRPr="00E5278B" w:rsidRDefault="00CA303C" w:rsidP="00CA303C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E5278B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3</w:t>
            </w:r>
            <w:r w:rsidRPr="00E5278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A303C" w:rsidRPr="00E5278B" w:rsidRDefault="00CA303C" w:rsidP="00CA303C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«Проведение в</w:t>
            </w:r>
            <w:r w:rsidRPr="00E5278B">
              <w:rPr>
                <w:sz w:val="20"/>
                <w:szCs w:val="20"/>
              </w:rPr>
              <w:t>ы</w:t>
            </w:r>
            <w:r w:rsidRPr="00E5278B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CA303C" w:rsidRPr="00E5278B" w:rsidRDefault="00CA303C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Шалобаева</w:t>
            </w:r>
            <w:proofErr w:type="spellEnd"/>
            <w:r w:rsidRPr="00E5278B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Проведение инициативных меропри</w:t>
            </w:r>
            <w:r w:rsidRPr="00E5278B">
              <w:rPr>
                <w:sz w:val="20"/>
                <w:szCs w:val="20"/>
              </w:rPr>
              <w:t>я</w:t>
            </w:r>
            <w:r w:rsidRPr="00E5278B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CA303C" w:rsidRPr="00E5278B" w:rsidRDefault="00CA303C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20201</w:t>
            </w:r>
          </w:p>
        </w:tc>
        <w:tc>
          <w:tcPr>
            <w:tcW w:w="1026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sz w:val="18"/>
                <w:szCs w:val="18"/>
              </w:rPr>
              <w:t>815  0113 1310300000 000</w:t>
            </w: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350405">
        <w:trPr>
          <w:cantSplit/>
          <w:trHeight w:val="1671"/>
        </w:trPr>
        <w:tc>
          <w:tcPr>
            <w:tcW w:w="568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A303C" w:rsidRPr="00E5278B" w:rsidRDefault="00CA303C" w:rsidP="00B40C73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CA303C" w:rsidRPr="00E5278B" w:rsidRDefault="00CA303C" w:rsidP="00CA303C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.1.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CA303C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  <w:p w:rsidR="00CA303C" w:rsidRPr="00E5278B" w:rsidRDefault="00CA303C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026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303C">
              <w:rPr>
                <w:sz w:val="18"/>
                <w:szCs w:val="18"/>
              </w:rPr>
              <w:t>31.05.2020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1D1306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2021 г</w:t>
            </w:r>
            <w:r w:rsidRPr="00E5278B">
              <w:rPr>
                <w:sz w:val="22"/>
                <w:szCs w:val="22"/>
              </w:rPr>
              <w:t>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  <w:r w:rsidRPr="00E5278B">
              <w:rPr>
                <w:sz w:val="18"/>
                <w:szCs w:val="18"/>
              </w:rPr>
              <w:t>,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06218">
        <w:trPr>
          <w:cantSplit/>
          <w:trHeight w:val="1467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A31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166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</w:tr>
      <w:tr w:rsidR="00306218" w:rsidRPr="00A20FA3" w:rsidTr="00350405">
        <w:trPr>
          <w:trHeight w:val="362"/>
        </w:trPr>
        <w:tc>
          <w:tcPr>
            <w:tcW w:w="568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06218" w:rsidRPr="00A20FA3" w:rsidRDefault="00306218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306218" w:rsidRPr="00A20FA3" w:rsidRDefault="00306218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06218" w:rsidRPr="00A20FA3" w:rsidRDefault="00306218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306218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9D7907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7 114,079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8A6BF4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D9493F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</w:tr>
      <w:tr w:rsidR="00306218" w:rsidRPr="00A20FA3" w:rsidTr="00350405">
        <w:trPr>
          <w:trHeight w:val="42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</w:tr>
      <w:tr w:rsidR="00306218" w:rsidRPr="00A20FA3" w:rsidTr="00350405">
        <w:trPr>
          <w:trHeight w:val="36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8A313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</w:t>
            </w:r>
            <w:r>
              <w:rPr>
                <w:sz w:val="20"/>
                <w:szCs w:val="20"/>
              </w:rPr>
              <w:t>г в сфере архивного дела  в 2019 году  проведен,  94,5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  <w:bookmarkStart w:id="1" w:name="_GoBack"/>
            <w:bookmarkEnd w:id="1"/>
          </w:p>
        </w:tc>
        <w:tc>
          <w:tcPr>
            <w:tcW w:w="392" w:type="dxa"/>
          </w:tcPr>
          <w:p w:rsidR="00306218" w:rsidRPr="00A20FA3" w:rsidRDefault="00097AA8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 проведен,  9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097AA8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</w:t>
            </w:r>
            <w:r>
              <w:rPr>
                <w:sz w:val="20"/>
                <w:szCs w:val="20"/>
              </w:rPr>
              <w:t>1 году  проведен,  95,5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097AA8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097AA8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2020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097AA8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2021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097AA8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- 14,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</w:p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</w:t>
            </w:r>
            <w:r w:rsidR="00097AA8">
              <w:rPr>
                <w:sz w:val="20"/>
                <w:szCs w:val="20"/>
              </w:rPr>
              <w:t>хив</w:t>
            </w:r>
            <w:proofErr w:type="spellEnd"/>
            <w:r w:rsidR="00097AA8">
              <w:rPr>
                <w:sz w:val="20"/>
                <w:szCs w:val="20"/>
              </w:rPr>
              <w:t xml:space="preserve"> Курской области»,  - 15,0 %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</w:t>
            </w:r>
            <w:r>
              <w:rPr>
                <w:sz w:val="20"/>
                <w:szCs w:val="20"/>
              </w:rPr>
              <w:t>15,5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13,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общего колич</w:t>
            </w:r>
            <w:r w:rsidR="00097AA8">
              <w:rPr>
                <w:sz w:val="20"/>
                <w:szCs w:val="20"/>
              </w:rPr>
              <w:t>е</w:t>
            </w:r>
            <w:r w:rsidR="00097AA8">
              <w:rPr>
                <w:sz w:val="20"/>
                <w:szCs w:val="20"/>
              </w:rPr>
              <w:t>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14,0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19,5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097AA8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306218" w:rsidRPr="00A20FA3" w:rsidRDefault="00306218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306218" w:rsidRPr="00A20FA3" w:rsidRDefault="00306218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EC74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409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66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4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98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840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481D41">
              <w:rPr>
                <w:sz w:val="20"/>
                <w:szCs w:val="20"/>
              </w:rPr>
              <w:t>архивуправл</w:t>
            </w:r>
            <w:r w:rsidRPr="00481D41">
              <w:rPr>
                <w:sz w:val="20"/>
                <w:szCs w:val="20"/>
              </w:rPr>
              <w:t>е</w:t>
            </w:r>
            <w:r w:rsidRPr="00481D41">
              <w:rPr>
                <w:sz w:val="20"/>
                <w:szCs w:val="20"/>
              </w:rPr>
              <w:t>ния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481D41" w:rsidTr="00350405">
        <w:trPr>
          <w:trHeight w:val="267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481D41">
              <w:rPr>
                <w:sz w:val="20"/>
                <w:szCs w:val="20"/>
              </w:rPr>
              <w:t>Госа</w:t>
            </w:r>
            <w:r w:rsidRPr="00481D41">
              <w:rPr>
                <w:sz w:val="20"/>
                <w:szCs w:val="20"/>
              </w:rPr>
              <w:t>р</w:t>
            </w:r>
            <w:r w:rsidRPr="00481D41">
              <w:rPr>
                <w:sz w:val="20"/>
                <w:szCs w:val="20"/>
              </w:rPr>
              <w:t>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области»  в  2021 году квалификация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481D41">
              <w:rPr>
                <w:sz w:val="20"/>
                <w:szCs w:val="20"/>
              </w:rPr>
              <w:t>Госархив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55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>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EC74F4" w:rsidTr="00350405">
        <w:trPr>
          <w:trHeight w:val="1272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481D41">
              <w:rPr>
                <w:sz w:val="20"/>
                <w:szCs w:val="20"/>
              </w:rPr>
              <w:t>Хондарь</w:t>
            </w:r>
            <w:proofErr w:type="spellEnd"/>
            <w:r w:rsidRPr="00481D41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AA" w:rsidRDefault="00BE19AA" w:rsidP="00DE1355">
      <w:r>
        <w:separator/>
      </w:r>
    </w:p>
  </w:endnote>
  <w:endnote w:type="continuationSeparator" w:id="0">
    <w:p w:rsidR="00BE19AA" w:rsidRDefault="00BE19AA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AA" w:rsidRDefault="00BE19AA" w:rsidP="00DE1355">
      <w:r>
        <w:separator/>
      </w:r>
    </w:p>
  </w:footnote>
  <w:footnote w:type="continuationSeparator" w:id="0">
    <w:p w:rsidR="00BE19AA" w:rsidRDefault="00BE19AA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97AA8" w:rsidRDefault="00097AA8">
        <w:pPr>
          <w:pStyle w:val="a7"/>
          <w:jc w:val="center"/>
        </w:pPr>
      </w:p>
      <w:p w:rsidR="00097AA8" w:rsidRPr="005B301E" w:rsidRDefault="00097AA8">
        <w:pPr>
          <w:pStyle w:val="a7"/>
          <w:jc w:val="center"/>
          <w:rPr>
            <w:color w:val="FFFFFF" w:themeColor="background1"/>
          </w:rPr>
        </w:pPr>
      </w:p>
    </w:sdtContent>
  </w:sdt>
  <w:p w:rsidR="00097AA8" w:rsidRDefault="00097A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97AA8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0DC6"/>
    <w:rsid w:val="001128E7"/>
    <w:rsid w:val="001253D4"/>
    <w:rsid w:val="00137576"/>
    <w:rsid w:val="00140F5D"/>
    <w:rsid w:val="001509D5"/>
    <w:rsid w:val="0015244A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20A9D"/>
    <w:rsid w:val="00220BB3"/>
    <w:rsid w:val="00234862"/>
    <w:rsid w:val="00241BA8"/>
    <w:rsid w:val="00243A3A"/>
    <w:rsid w:val="00245977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01E13"/>
    <w:rsid w:val="00305185"/>
    <w:rsid w:val="00306218"/>
    <w:rsid w:val="00307052"/>
    <w:rsid w:val="003209AC"/>
    <w:rsid w:val="0032181C"/>
    <w:rsid w:val="003320E9"/>
    <w:rsid w:val="0033462E"/>
    <w:rsid w:val="00335A05"/>
    <w:rsid w:val="00350194"/>
    <w:rsid w:val="00350405"/>
    <w:rsid w:val="00361821"/>
    <w:rsid w:val="00362328"/>
    <w:rsid w:val="003766E6"/>
    <w:rsid w:val="0038322E"/>
    <w:rsid w:val="00383585"/>
    <w:rsid w:val="00384266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1D41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301E"/>
    <w:rsid w:val="005B6E3A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543B"/>
    <w:rsid w:val="006362D0"/>
    <w:rsid w:val="0063730D"/>
    <w:rsid w:val="00640A26"/>
    <w:rsid w:val="006474F7"/>
    <w:rsid w:val="0066087D"/>
    <w:rsid w:val="0066157E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700360"/>
    <w:rsid w:val="007005E9"/>
    <w:rsid w:val="00700C2E"/>
    <w:rsid w:val="007029EF"/>
    <w:rsid w:val="00706BC8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77564"/>
    <w:rsid w:val="00781882"/>
    <w:rsid w:val="00781D47"/>
    <w:rsid w:val="00782FBC"/>
    <w:rsid w:val="00783524"/>
    <w:rsid w:val="007969AC"/>
    <w:rsid w:val="00797756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7E7C22"/>
    <w:rsid w:val="0080795D"/>
    <w:rsid w:val="00807989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3132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2556"/>
    <w:rsid w:val="0090381A"/>
    <w:rsid w:val="00915FFA"/>
    <w:rsid w:val="00932736"/>
    <w:rsid w:val="00933D2E"/>
    <w:rsid w:val="0093486D"/>
    <w:rsid w:val="00944CE2"/>
    <w:rsid w:val="009522AA"/>
    <w:rsid w:val="00957933"/>
    <w:rsid w:val="00963198"/>
    <w:rsid w:val="0096734E"/>
    <w:rsid w:val="00973747"/>
    <w:rsid w:val="00976228"/>
    <w:rsid w:val="00982C08"/>
    <w:rsid w:val="0099378F"/>
    <w:rsid w:val="009A103A"/>
    <w:rsid w:val="009A57E4"/>
    <w:rsid w:val="009A5900"/>
    <w:rsid w:val="009B0B60"/>
    <w:rsid w:val="009D028E"/>
    <w:rsid w:val="009D3501"/>
    <w:rsid w:val="009D7907"/>
    <w:rsid w:val="009D7B12"/>
    <w:rsid w:val="009E0D29"/>
    <w:rsid w:val="009E19F7"/>
    <w:rsid w:val="009E365B"/>
    <w:rsid w:val="009E7E8A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E19AA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05AD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03C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516"/>
    <w:rsid w:val="00D6423C"/>
    <w:rsid w:val="00D65F94"/>
    <w:rsid w:val="00D6657A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493F"/>
    <w:rsid w:val="00D976DE"/>
    <w:rsid w:val="00DA2020"/>
    <w:rsid w:val="00DB0096"/>
    <w:rsid w:val="00DB01B5"/>
    <w:rsid w:val="00DC1978"/>
    <w:rsid w:val="00DD2FAE"/>
    <w:rsid w:val="00DE1355"/>
    <w:rsid w:val="00DE4E2D"/>
    <w:rsid w:val="00DF1848"/>
    <w:rsid w:val="00DF5214"/>
    <w:rsid w:val="00DF5282"/>
    <w:rsid w:val="00E30756"/>
    <w:rsid w:val="00E33CA2"/>
    <w:rsid w:val="00E363A4"/>
    <w:rsid w:val="00E5278B"/>
    <w:rsid w:val="00E53965"/>
    <w:rsid w:val="00E57E3A"/>
    <w:rsid w:val="00E62203"/>
    <w:rsid w:val="00E62CC7"/>
    <w:rsid w:val="00E712D7"/>
    <w:rsid w:val="00E76AA4"/>
    <w:rsid w:val="00E77135"/>
    <w:rsid w:val="00E8480D"/>
    <w:rsid w:val="00E95E07"/>
    <w:rsid w:val="00E961E4"/>
    <w:rsid w:val="00E97CBA"/>
    <w:rsid w:val="00EA6A2A"/>
    <w:rsid w:val="00EB4D62"/>
    <w:rsid w:val="00EC1C05"/>
    <w:rsid w:val="00EC74F4"/>
    <w:rsid w:val="00EE1068"/>
    <w:rsid w:val="00EE6C4E"/>
    <w:rsid w:val="00EF58C5"/>
    <w:rsid w:val="00EF6586"/>
    <w:rsid w:val="00EF67A7"/>
    <w:rsid w:val="00F04D0F"/>
    <w:rsid w:val="00F06793"/>
    <w:rsid w:val="00F17A94"/>
    <w:rsid w:val="00F20EBC"/>
    <w:rsid w:val="00F24153"/>
    <w:rsid w:val="00F26D11"/>
    <w:rsid w:val="00F320D9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7"/>
    <w:rsid w:val="00FC7826"/>
    <w:rsid w:val="00FC7AD4"/>
    <w:rsid w:val="00FD0CB7"/>
    <w:rsid w:val="00FD1AFE"/>
    <w:rsid w:val="00FD6D36"/>
    <w:rsid w:val="00FE25C1"/>
    <w:rsid w:val="00FF051C"/>
    <w:rsid w:val="00FF0BFD"/>
    <w:rsid w:val="00FF2A99"/>
    <w:rsid w:val="00FF36EC"/>
    <w:rsid w:val="00FF428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8ED9-B9AD-452D-B1AD-3F3C531F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43</cp:revision>
  <cp:lastPrinted>2019-03-13T09:29:00Z</cp:lastPrinted>
  <dcterms:created xsi:type="dcterms:W3CDTF">2018-01-18T07:33:00Z</dcterms:created>
  <dcterms:modified xsi:type="dcterms:W3CDTF">2019-03-13T09:36:00Z</dcterms:modified>
</cp:coreProperties>
</file>